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8" w:lineRule="exact"/>
        <w:ind w:right="0" w:rightChars="0" w:firstLine="640" w:firstLineChars="200"/>
        <w:jc w:val="both"/>
        <w:textAlignment w:val="auto"/>
        <w:outlineLvl w:val="9"/>
        <w:rPr>
          <w:rFonts w:hint="default" w:ascii="仿宋" w:hAnsi="仿宋" w:eastAsia="仿宋" w:cs="仿宋"/>
          <w:i w:val="0"/>
          <w:iCs w:val="0"/>
          <w:sz w:val="32"/>
          <w:szCs w:val="32"/>
          <w:u w:val="none"/>
          <w:lang w:val="en-US" w:eastAsia="zh-CN"/>
        </w:rPr>
      </w:pPr>
      <w:bookmarkStart w:id="0" w:name="_GoBack"/>
      <w:bookmarkEnd w:id="0"/>
      <w:r>
        <w:rPr>
          <w:rFonts w:hint="eastAsia" w:ascii="仿宋" w:hAnsi="仿宋" w:eastAsia="仿宋" w:cs="仿宋"/>
          <w:i w:val="0"/>
          <w:iCs w:val="0"/>
          <w:sz w:val="32"/>
          <w:szCs w:val="32"/>
          <w:u w:val="none"/>
          <w:lang w:val="en-US" w:eastAsia="zh-CN"/>
        </w:rPr>
        <w:t>附件1</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center"/>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8" w:lineRule="exact"/>
        <w:ind w:right="0" w:rightChars="0" w:firstLine="0" w:firstLineChars="0"/>
        <w:jc w:val="center"/>
        <w:textAlignment w:val="auto"/>
        <w:outlineLvl w:val="9"/>
        <w:rPr>
          <w:rFonts w:hint="default" w:ascii="华文中宋" w:hAnsi="华文中宋" w:eastAsia="华文中宋" w:cs="华文中宋"/>
          <w:i w:val="0"/>
          <w:iCs w:val="0"/>
          <w:sz w:val="52"/>
          <w:szCs w:val="52"/>
          <w:u w:val="none"/>
          <w:lang w:val="en-US" w:eastAsia="zh-CN"/>
        </w:rPr>
      </w:pPr>
      <w:r>
        <w:rPr>
          <w:rFonts w:hint="eastAsia" w:ascii="华文中宋" w:hAnsi="华文中宋" w:eastAsia="华文中宋" w:cs="华文中宋"/>
          <w:i w:val="0"/>
          <w:iCs w:val="0"/>
          <w:sz w:val="52"/>
          <w:szCs w:val="52"/>
          <w:u w:val="none"/>
          <w:lang w:val="en-US" w:eastAsia="zh-CN"/>
        </w:rPr>
        <w:t>2022年度飞碟碟靶项目</w:t>
      </w:r>
      <w:r>
        <w:rPr>
          <w:rFonts w:hint="eastAsia" w:ascii="华文中宋" w:hAnsi="华文中宋" w:eastAsia="华文中宋" w:cs="华文中宋"/>
          <w:i w:val="0"/>
          <w:iCs w:val="0"/>
          <w:sz w:val="52"/>
          <w:szCs w:val="52"/>
          <w:u w:val="none"/>
          <w:lang w:eastAsia="zh-CN"/>
        </w:rPr>
        <w:t>采购需</w:t>
      </w:r>
      <w:r>
        <w:rPr>
          <w:rFonts w:hint="eastAsia" w:ascii="华文中宋" w:hAnsi="华文中宋" w:eastAsia="华文中宋" w:cs="华文中宋"/>
          <w:i w:val="0"/>
          <w:iCs w:val="0"/>
          <w:sz w:val="52"/>
          <w:szCs w:val="52"/>
          <w:u w:val="none"/>
          <w:lang w:val="en-US" w:eastAsia="zh-CN"/>
        </w:rPr>
        <w:t>求</w:t>
      </w: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仿宋_GB2312" w:hAnsi="仿宋" w:eastAsia="仿宋_GB2312" w:cs="Times New Roman"/>
          <w:i w:val="0"/>
          <w:iCs w:val="0"/>
          <w:sz w:val="52"/>
          <w:szCs w:val="5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_GB2312" w:hAnsi="仿宋" w:eastAsia="仿宋_GB2312" w:cs="Times New Roman"/>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both"/>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采</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购</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人：</w:t>
      </w:r>
      <w:r>
        <w:rPr>
          <w:rFonts w:hint="eastAsia" w:asciiTheme="minorEastAsia" w:hAnsiTheme="minorEastAsia" w:cstheme="minorEastAsia"/>
          <w:i w:val="0"/>
          <w:iCs w:val="0"/>
          <w:sz w:val="44"/>
          <w:szCs w:val="44"/>
          <w:u w:val="none"/>
          <w:lang w:val="en-US" w:eastAsia="zh-CN"/>
        </w:rPr>
        <w:t>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项目名称：</w:t>
      </w:r>
      <w:r>
        <w:rPr>
          <w:rFonts w:hint="eastAsia" w:asciiTheme="minorEastAsia" w:hAnsiTheme="minorEastAsia" w:cstheme="minorEastAsia"/>
          <w:i w:val="0"/>
          <w:iCs w:val="0"/>
          <w:sz w:val="44"/>
          <w:szCs w:val="44"/>
          <w:u w:val="none"/>
          <w:lang w:val="en-US" w:eastAsia="zh-CN"/>
        </w:rPr>
        <w:t>射击器材飞碟碟靶</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Theme="minorEastAsia" w:hAnsiTheme="minorEastAsia" w:eastAsiaTheme="minorEastAsia" w:cstheme="minorEastAsia"/>
          <w:i w:val="0"/>
          <w:iCs w:val="0"/>
          <w:sz w:val="44"/>
          <w:szCs w:val="44"/>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firstLine="880" w:firstLineChars="200"/>
        <w:jc w:val="both"/>
        <w:textAlignment w:val="auto"/>
        <w:outlineLvl w:val="9"/>
        <w:rPr>
          <w:rFonts w:hint="default" w:asciiTheme="minorEastAsia" w:hAnsiTheme="minorEastAsia" w:eastAsiaTheme="minorEastAsia" w:cstheme="minorEastAsia"/>
          <w:i w:val="0"/>
          <w:iCs w:val="0"/>
          <w:sz w:val="44"/>
          <w:szCs w:val="44"/>
          <w:u w:val="none"/>
          <w:lang w:val="en-US" w:eastAsia="zh-CN"/>
        </w:rPr>
      </w:pPr>
      <w:r>
        <w:rPr>
          <w:rFonts w:hint="eastAsia" w:asciiTheme="minorEastAsia" w:hAnsiTheme="minorEastAsia" w:eastAsiaTheme="minorEastAsia" w:cstheme="minorEastAsia"/>
          <w:i w:val="0"/>
          <w:iCs w:val="0"/>
          <w:sz w:val="44"/>
          <w:szCs w:val="44"/>
          <w:u w:val="none"/>
          <w:lang w:eastAsia="zh-CN"/>
        </w:rPr>
        <w:t>年</w:t>
      </w:r>
      <w:r>
        <w:rPr>
          <w:rFonts w:hint="eastAsia" w:asciiTheme="minorEastAsia" w:hAnsiTheme="minorEastAsia" w:eastAsiaTheme="minorEastAsia" w:cstheme="minorEastAsia"/>
          <w:i w:val="0"/>
          <w:iCs w:val="0"/>
          <w:sz w:val="44"/>
          <w:szCs w:val="44"/>
          <w:u w:val="none"/>
          <w:lang w:val="en-US" w:eastAsia="zh-CN"/>
        </w:rPr>
        <w:t xml:space="preserve">     </w:t>
      </w:r>
      <w:r>
        <w:rPr>
          <w:rFonts w:hint="eastAsia" w:asciiTheme="minorEastAsia" w:hAnsiTheme="minorEastAsia" w:eastAsiaTheme="minorEastAsia" w:cstheme="minorEastAsia"/>
          <w:i w:val="0"/>
          <w:iCs w:val="0"/>
          <w:sz w:val="44"/>
          <w:szCs w:val="44"/>
          <w:u w:val="none"/>
          <w:lang w:eastAsia="zh-CN"/>
        </w:rPr>
        <w:t>度：</w:t>
      </w:r>
      <w:r>
        <w:rPr>
          <w:rFonts w:hint="eastAsia" w:asciiTheme="minorEastAsia" w:hAnsiTheme="minorEastAsia" w:cstheme="minorEastAsia"/>
          <w:i w:val="0"/>
          <w:iCs w:val="0"/>
          <w:sz w:val="44"/>
          <w:szCs w:val="44"/>
          <w:u w:val="none"/>
          <w:lang w:val="en-US" w:eastAsia="zh-CN"/>
        </w:rPr>
        <w:t>2022年</w:t>
      </w: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44"/>
          <w:szCs w:val="44"/>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华文中宋" w:hAnsi="华文中宋" w:eastAsia="华文中宋" w:cs="华文中宋"/>
          <w:i w:val="0"/>
          <w:iCs w:val="0"/>
          <w:sz w:val="36"/>
          <w:szCs w:val="36"/>
          <w:u w:val="no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default" w:ascii="仿宋" w:hAnsi="仿宋" w:eastAsia="仿宋" w:cs="仿宋"/>
          <w:i w:val="0"/>
          <w:iCs w:val="0"/>
          <w:sz w:val="44"/>
          <w:szCs w:val="44"/>
          <w:u w:val="none"/>
          <w:lang w:val="en-US" w:eastAsia="zh-CN"/>
        </w:rPr>
      </w:pPr>
      <w:r>
        <w:rPr>
          <w:rFonts w:hint="eastAsia" w:ascii="华文中宋" w:hAnsi="华文中宋" w:eastAsia="华文中宋" w:cs="华文中宋"/>
          <w:i w:val="0"/>
          <w:iCs w:val="0"/>
          <w:sz w:val="36"/>
          <w:szCs w:val="36"/>
          <w:u w:val="none"/>
          <w:lang w:val="en-US" w:eastAsia="zh-CN"/>
        </w:rPr>
        <w:t>第一部分 采购需求</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both"/>
        <w:textAlignment w:val="auto"/>
        <w:outlineLvl w:val="9"/>
        <w:rPr>
          <w:rFonts w:hint="eastAsia" w:ascii="黑体" w:hAnsi="黑体" w:eastAsia="黑体" w:cs="黑体"/>
          <w:i w:val="0"/>
          <w:iCs w:val="0"/>
          <w:sz w:val="32"/>
          <w:szCs w:val="32"/>
          <w:u w:val="none"/>
          <w:lang w:eastAsia="zh-CN"/>
        </w:rPr>
      </w:pPr>
      <w:r>
        <w:rPr>
          <w:rFonts w:hint="eastAsia" w:ascii="黑体" w:hAnsi="黑体" w:eastAsia="黑体" w:cs="黑体"/>
          <w:i w:val="0"/>
          <w:iCs w:val="0"/>
          <w:sz w:val="32"/>
          <w:szCs w:val="32"/>
          <w:u w:val="none"/>
        </w:rPr>
        <w:t>一、</w:t>
      </w:r>
      <w:r>
        <w:rPr>
          <w:rFonts w:hint="eastAsia" w:ascii="黑体" w:hAnsi="黑体" w:eastAsia="黑体" w:cs="黑体"/>
          <w:i w:val="0"/>
          <w:iCs w:val="0"/>
          <w:sz w:val="32"/>
          <w:szCs w:val="32"/>
          <w:u w:val="none"/>
          <w:lang w:eastAsia="zh-CN"/>
        </w:rPr>
        <w:t>采购项目实施的必要性：</w:t>
      </w:r>
    </w:p>
    <w:p>
      <w:pPr>
        <w:ind w:firstLine="600" w:firstLineChars="200"/>
        <w:jc w:val="both"/>
        <w:rPr>
          <w:rFonts w:hint="default"/>
          <w:sz w:val="30"/>
          <w:szCs w:val="30"/>
          <w:lang w:val="en-US" w:eastAsia="zh-CN"/>
        </w:rPr>
      </w:pPr>
      <w:r>
        <w:rPr>
          <w:rFonts w:hint="eastAsia"/>
          <w:sz w:val="30"/>
          <w:szCs w:val="30"/>
          <w:lang w:val="en-US" w:eastAsia="zh-CN"/>
        </w:rPr>
        <w:t>我单位是福建省体育局下属的射击飞碟专业训练队，主要代表福建省参加全国和国际的射击比赛，飞碟比赛要求运动员的装备要符合国际射击协会和中国射击协会的比赛要求。根据以往比赛经验国内碟靶暂无法满足比赛要求。</w:t>
      </w:r>
    </w:p>
    <w:p>
      <w:pPr>
        <w:ind w:firstLine="600" w:firstLineChars="200"/>
        <w:jc w:val="both"/>
        <w:rPr>
          <w:rFonts w:hint="default" w:ascii="仿宋" w:hAnsi="仿宋" w:eastAsia="仿宋" w:cs="仿宋"/>
          <w:i w:val="0"/>
          <w:iCs w:val="0"/>
          <w:sz w:val="32"/>
          <w:szCs w:val="32"/>
          <w:u w:val="none"/>
          <w:lang w:val="en-US" w:eastAsia="zh-CN"/>
        </w:rPr>
      </w:pPr>
      <w:r>
        <w:rPr>
          <w:rFonts w:hint="eastAsia" w:ascii="宋体" w:hAnsi="宋体" w:eastAsia="宋体" w:cs="宋体"/>
          <w:sz w:val="30"/>
          <w:szCs w:val="30"/>
        </w:rPr>
        <w:t>飞碟靶在规定尺寸重量的条件下，材质的差异及碟靶设计的差异导致飞行稳定性和碎靶率的不同。频繁碎靶会严重影响运动员心态，降低运动成绩；频繁碎靶也会降低比赛的观赏性。</w:t>
      </w:r>
      <w:r>
        <w:rPr>
          <w:rFonts w:hint="eastAsia" w:ascii="宋体" w:hAnsi="宋体" w:eastAsia="宋体" w:cs="宋体"/>
          <w:sz w:val="30"/>
          <w:szCs w:val="30"/>
          <w:lang w:val="en-US" w:eastAsia="zh-CN"/>
        </w:rPr>
        <w:t>为</w:t>
      </w:r>
      <w:r>
        <w:rPr>
          <w:rFonts w:hint="eastAsia" w:ascii="宋体" w:hAnsi="宋体" w:eastAsia="宋体" w:cs="宋体"/>
          <w:sz w:val="30"/>
          <w:szCs w:val="30"/>
        </w:rPr>
        <w:t>避免因器材的质量问题影响比赛和训练。</w:t>
      </w:r>
      <w:r>
        <w:rPr>
          <w:rFonts w:hint="eastAsia" w:ascii="宋体" w:hAnsi="宋体" w:eastAsia="宋体" w:cs="宋体"/>
          <w:sz w:val="30"/>
          <w:szCs w:val="30"/>
          <w:lang w:val="en-US" w:eastAsia="zh-CN"/>
        </w:rPr>
        <w:t>碟靶要求</w:t>
      </w:r>
      <w:r>
        <w:rPr>
          <w:rFonts w:hint="eastAsia" w:ascii="宋体" w:hAnsi="宋体" w:eastAsia="宋体" w:cs="宋体"/>
          <w:sz w:val="30"/>
          <w:szCs w:val="30"/>
        </w:rPr>
        <w:t>：</w:t>
      </w:r>
      <w:r>
        <w:rPr>
          <w:rFonts w:hint="eastAsia" w:ascii="宋体" w:hAnsi="宋体" w:eastAsia="宋体" w:cs="宋体"/>
          <w:sz w:val="30"/>
          <w:szCs w:val="30"/>
          <w:lang w:val="en-US" w:eastAsia="zh-CN"/>
        </w:rPr>
        <w:t>1.</w:t>
      </w:r>
      <w:r>
        <w:rPr>
          <w:rFonts w:hint="eastAsia" w:ascii="宋体" w:hAnsi="宋体" w:eastAsia="宋体" w:cs="宋体"/>
          <w:sz w:val="30"/>
          <w:szCs w:val="30"/>
        </w:rPr>
        <w:t>外观质量均衡，内在质量硬度合理，重量误差保证在正常国际射联认证标准范围内，使飞碟碟靶飞行稳定。</w:t>
      </w:r>
      <w:r>
        <w:rPr>
          <w:rFonts w:hint="eastAsia" w:ascii="宋体" w:hAnsi="宋体" w:eastAsia="宋体" w:cs="宋体"/>
          <w:sz w:val="30"/>
          <w:szCs w:val="30"/>
          <w:lang w:val="en-US" w:eastAsia="zh-CN"/>
        </w:rPr>
        <w:t>2.</w:t>
      </w:r>
      <w:r>
        <w:rPr>
          <w:rFonts w:hint="eastAsia" w:ascii="宋体" w:hAnsi="宋体" w:eastAsia="宋体" w:cs="宋体"/>
          <w:sz w:val="30"/>
          <w:szCs w:val="30"/>
        </w:rPr>
        <w:t>颜色鲜艳，使训练和比赛达到稳定提高的效果。</w:t>
      </w:r>
      <w:r>
        <w:rPr>
          <w:rFonts w:hint="eastAsia" w:ascii="宋体" w:hAnsi="宋体" w:eastAsia="宋体" w:cs="宋体"/>
          <w:sz w:val="30"/>
          <w:szCs w:val="30"/>
          <w:lang w:val="en-US" w:eastAsia="zh-CN"/>
        </w:rPr>
        <w:t>3.</w:t>
      </w:r>
      <w:r>
        <w:rPr>
          <w:rFonts w:hint="eastAsia" w:ascii="宋体" w:hAnsi="宋体" w:eastAsia="宋体" w:cs="宋体"/>
          <w:sz w:val="30"/>
          <w:szCs w:val="30"/>
        </w:rPr>
        <w:t>正常训练和比赛飞碟碟靶飞行破碎率能保证1％内，经济效果明显，训练心态明显。</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楷体" w:hAnsi="楷体" w:eastAsia="楷体" w:cs="楷体"/>
          <w:i w:val="0"/>
          <w:iCs w:val="0"/>
          <w:sz w:val="32"/>
          <w:szCs w:val="32"/>
          <w:u w:val="none"/>
          <w:lang w:eastAsia="zh-CN"/>
        </w:rPr>
        <w:t>（一）根据《需求管理办法》第二十八条确定编制单位</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none"/>
          <w:lang w:eastAsia="zh-CN"/>
        </w:rPr>
        <w:t>编制单位：</w:t>
      </w:r>
      <w:r>
        <w:rPr>
          <w:rFonts w:hint="eastAsia" w:ascii="仿宋" w:hAnsi="仿宋" w:eastAsia="仿宋" w:cs="仿宋"/>
          <w:i w:val="0"/>
          <w:iCs w:val="0"/>
          <w:sz w:val="32"/>
          <w:szCs w:val="32"/>
          <w:u w:val="none"/>
          <w:lang w:val="en-US" w:eastAsia="zh-CN"/>
        </w:rPr>
        <w:t>_福建省射击射箭运动管理中心</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sz w:val="32"/>
          <w:szCs w:val="32"/>
          <w:lang w:eastAsia="zh-CN"/>
        </w:rPr>
        <w:t>编制时间</w:t>
      </w:r>
      <w:r>
        <w:rPr>
          <w:rFonts w:hint="eastAsia" w:ascii="仿宋" w:hAnsi="仿宋" w:eastAsia="仿宋" w:cs="仿宋"/>
          <w:i w:val="0"/>
          <w:iCs w:val="0"/>
          <w:sz w:val="32"/>
          <w:szCs w:val="32"/>
          <w:u w:val="none"/>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2022</w:t>
      </w:r>
      <w:r>
        <w:rPr>
          <w:rFonts w:hint="eastAsia" w:ascii="仿宋" w:hAnsi="仿宋" w:eastAsia="仿宋" w:cs="仿宋"/>
          <w:sz w:val="32"/>
          <w:szCs w:val="32"/>
          <w:u w:val="single"/>
        </w:rPr>
        <w:t xml:space="preserve">  年 </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rPr>
        <w:t xml:space="preserve"> 月</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（二）需求调查情况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rPr>
      </w:pPr>
      <w:r>
        <w:rPr>
          <w:rFonts w:hint="eastAsia" w:ascii="仿宋" w:hAnsi="仿宋" w:eastAsia="仿宋" w:cs="仿宋"/>
          <w:i w:val="0"/>
          <w:iCs w:val="0"/>
          <w:sz w:val="32"/>
          <w:szCs w:val="32"/>
          <w:u w:val="none"/>
          <w:lang w:val="en-US" w:eastAsia="zh-CN"/>
        </w:rPr>
        <w:t>1.</w:t>
      </w:r>
      <w:r>
        <w:rPr>
          <w:rFonts w:hint="eastAsia" w:ascii="仿宋" w:hAnsi="仿宋" w:eastAsia="仿宋" w:cs="仿宋"/>
          <w:sz w:val="32"/>
          <w:szCs w:val="32"/>
          <w:lang w:eastAsia="zh-CN"/>
        </w:rPr>
        <w:t>根据</w:t>
      </w:r>
      <w:r>
        <w:rPr>
          <w:rFonts w:hint="eastAsia" w:ascii="仿宋" w:hAnsi="仿宋" w:eastAsia="仿宋" w:cs="仿宋"/>
          <w:i w:val="0"/>
          <w:iCs w:val="0"/>
          <w:sz w:val="32"/>
          <w:szCs w:val="32"/>
          <w:u w:val="none"/>
          <w:lang w:eastAsia="zh-CN"/>
        </w:rPr>
        <w:t>《需求管理办法》第十一条填写相应情形</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lang w:eastAsia="zh-CN"/>
        </w:rPr>
        <w:t>☑应当开展</w:t>
      </w:r>
      <w:r>
        <w:rPr>
          <w:rFonts w:hint="eastAsia" w:ascii="仿宋" w:hAnsi="仿宋" w:eastAsia="仿宋" w:cs="仿宋"/>
          <w:i w:val="0"/>
          <w:iCs w:val="0"/>
          <w:sz w:val="32"/>
          <w:szCs w:val="32"/>
          <w:u w:val="none"/>
          <w:lang w:eastAsia="zh-CN"/>
        </w:rPr>
        <w:t>调查</w:t>
      </w:r>
    </w:p>
    <w:p>
      <w:pPr>
        <w:keepNext w:val="0"/>
        <w:keepLines w:val="0"/>
        <w:pageBreakBefore w:val="0"/>
        <w:widowControl w:val="0"/>
        <w:kinsoku/>
        <w:wordWrap/>
        <w:overflowPunct/>
        <w:topLinePunct w:val="0"/>
        <w:autoSpaceDE/>
        <w:autoSpaceDN/>
        <w:bidi w:val="0"/>
        <w:spacing w:line="608" w:lineRule="exact"/>
        <w:ind w:right="0" w:rightChars="0" w:firstLine="960" w:firstLineChars="300"/>
        <w:jc w:val="left"/>
        <w:textAlignment w:val="auto"/>
        <w:outlineLvl w:val="9"/>
        <w:rPr>
          <w:rFonts w:hint="default" w:ascii="仿宋" w:hAnsi="仿宋" w:eastAsia="仿宋" w:cs="仿宋"/>
          <w:i w:val="0"/>
          <w:iCs w:val="0"/>
          <w:sz w:val="32"/>
          <w:szCs w:val="32"/>
          <w:u w:val="none"/>
          <w:lang w:val="en-US" w:eastAsia="zh-CN"/>
        </w:rPr>
      </w:pPr>
      <w:r>
        <w:rPr>
          <w:rFonts w:hint="eastAsia" w:ascii="仿宋" w:hAnsi="仿宋" w:eastAsia="仿宋" w:cs="仿宋"/>
          <w:i w:val="0"/>
          <w:iCs w:val="0"/>
          <w:sz w:val="32"/>
          <w:szCs w:val="32"/>
          <w:u w:val="single"/>
          <w:lang w:val="en-US" w:eastAsia="zh-CN"/>
        </w:rPr>
        <w:t xml:space="preserve">购买进口产品                             </w:t>
      </w:r>
    </w:p>
    <w:p>
      <w:pPr>
        <w:keepNext w:val="0"/>
        <w:keepLines w:val="0"/>
        <w:pageBreakBefore w:val="0"/>
        <w:widowControl w:val="0"/>
        <w:kinsoku/>
        <w:wordWrap/>
        <w:overflowPunct/>
        <w:topLinePunct w:val="0"/>
        <w:autoSpaceDE/>
        <w:autoSpaceDN/>
        <w:bidi w:val="0"/>
        <w:spacing w:line="608" w:lineRule="exact"/>
        <w:ind w:left="638" w:leftChars="304" w:right="0" w:rightChars="0" w:firstLine="0" w:firstLineChars="0"/>
        <w:jc w:val="left"/>
        <w:textAlignment w:val="auto"/>
        <w:outlineLvl w:val="9"/>
        <w:rPr>
          <w:rFonts w:hint="eastAsia" w:ascii="仿宋" w:hAnsi="仿宋" w:eastAsia="仿宋" w:cs="仿宋"/>
          <w:i w:val="0"/>
          <w:iCs w:val="0"/>
          <w:sz w:val="32"/>
          <w:szCs w:val="32"/>
          <w:u w:val="none"/>
          <w:lang w:val="en-US" w:eastAsia="zh-CN"/>
        </w:rPr>
      </w:pPr>
      <w:r>
        <w:rPr>
          <w:rFonts w:hint="eastAsia" w:ascii="仿宋" w:hAnsi="仿宋" w:eastAsia="仿宋" w:cs="仿宋"/>
          <w:sz w:val="32"/>
          <w:szCs w:val="32"/>
        </w:rPr>
        <w:t>□</w:t>
      </w:r>
      <w:r>
        <w:rPr>
          <w:rFonts w:hint="eastAsia" w:ascii="仿宋" w:hAnsi="仿宋" w:eastAsia="仿宋" w:cs="仿宋"/>
          <w:i w:val="0"/>
          <w:iCs w:val="0"/>
          <w:sz w:val="32"/>
          <w:szCs w:val="32"/>
          <w:u w:val="none"/>
          <w:lang w:eastAsia="zh-CN"/>
        </w:rPr>
        <w:t>不重复开展调查</w:t>
      </w:r>
      <w:r>
        <w:rPr>
          <w:rFonts w:hint="eastAsia" w:ascii="仿宋" w:hAnsi="仿宋" w:eastAsia="仿宋" w:cs="仿宋"/>
          <w:sz w:val="32"/>
          <w:szCs w:val="32"/>
          <w:lang w:val="en-US" w:eastAsia="zh-CN"/>
        </w:rPr>
        <w:t>_____________________________________________</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sz w:val="32"/>
          <w:szCs w:val="32"/>
        </w:rPr>
        <w:t>□</w:t>
      </w:r>
      <w:r>
        <w:rPr>
          <w:rFonts w:hint="eastAsia" w:ascii="仿宋" w:hAnsi="仿宋" w:eastAsia="仿宋" w:cs="仿宋"/>
          <w:i w:val="0"/>
          <w:iCs w:val="0"/>
          <w:sz w:val="32"/>
          <w:szCs w:val="32"/>
          <w:u w:val="none"/>
          <w:lang w:eastAsia="zh-CN"/>
        </w:rPr>
        <w:t>不需开展调查</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根据《需求管理办法》第十条填写</w:t>
      </w:r>
      <w:r>
        <w:rPr>
          <w:rFonts w:hint="eastAsia" w:ascii="仿宋" w:hAnsi="仿宋" w:eastAsia="仿宋" w:cs="仿宋"/>
          <w:sz w:val="32"/>
          <w:szCs w:val="32"/>
        </w:rPr>
        <w:t>需求调查</w:t>
      </w:r>
      <w:r>
        <w:rPr>
          <w:rFonts w:hint="eastAsia" w:ascii="仿宋" w:hAnsi="仿宋" w:eastAsia="仿宋" w:cs="仿宋"/>
          <w:sz w:val="32"/>
          <w:szCs w:val="32"/>
          <w:lang w:eastAsia="zh-CN"/>
        </w:rPr>
        <w:t>事项</w:t>
      </w:r>
      <w:r>
        <w:rPr>
          <w:rFonts w:hint="eastAsia" w:ascii="仿宋" w:hAnsi="仿宋" w:eastAsia="仿宋" w:cs="仿宋"/>
          <w:i w:val="0"/>
          <w:iCs w:val="0"/>
          <w:sz w:val="32"/>
          <w:szCs w:val="32"/>
          <w:u w:val="none"/>
          <w:lang w:eastAsia="zh-CN"/>
        </w:rPr>
        <w:t>相应情形</w:t>
      </w:r>
    </w:p>
    <w:tbl>
      <w:tblPr>
        <w:tblStyle w:val="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rPr>
              <w:t>项目名称</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射击器材碟靶采购项目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调查人员</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郑伟、沈春华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调查对象</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北京多飞体育器材有限公司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湖南泓蓉达贸易有限公司</w:t>
            </w: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北京方亚巨德技术有限公司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调查时间</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2022.5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调查地点</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lang w:val="en-US" w:eastAsia="zh-CN"/>
              </w:rPr>
            </w:pPr>
            <w:r>
              <w:rPr>
                <w:rFonts w:hint="eastAsia" w:ascii="仿宋" w:hAnsi="仿宋" w:eastAsia="仿宋" w:cs="仿宋"/>
                <w:i w:val="0"/>
                <w:iCs w:val="0"/>
                <w:sz w:val="28"/>
                <w:szCs w:val="28"/>
                <w:u w:val="none"/>
              </w:rPr>
              <w:t>调查方式</w:t>
            </w:r>
          </w:p>
        </w:tc>
        <w:tc>
          <w:tcPr>
            <w:tcW w:w="6284"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cs="仿宋"/>
                <w:i w:val="0"/>
                <w:iCs w:val="0"/>
                <w:sz w:val="32"/>
                <w:szCs w:val="32"/>
                <w:u w:val="none"/>
                <w:vertAlign w:val="baseline"/>
                <w:lang w:val="en-US" w:eastAsia="zh-CN"/>
              </w:rPr>
            </w:pPr>
            <w:r>
              <w:rPr>
                <w:rFonts w:hint="eastAsia" w:ascii="仿宋" w:hAnsi="仿宋" w:eastAsia="仿宋" w:cs="仿宋"/>
                <w:i w:val="0"/>
                <w:iCs w:val="0"/>
                <w:sz w:val="32"/>
                <w:szCs w:val="32"/>
                <w:u w:val="none"/>
                <w:vertAlign w:val="baseline"/>
                <w:lang w:val="en-US" w:eastAsia="zh-CN"/>
              </w:rPr>
              <w:t>咨询</w:t>
            </w: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需求调查结果</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相关产业发展情况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飞碟碟靶在我国产业发展相对薄弱，质量和国外产品有相当大的差距，行业发展由于是射击特殊产品，发展不平衡，先进的生产技术质量高、数量大，国内又接受不了它的产能和数量，因而只能启用原始的低产量的生产。生产的产品质量粗糙、硬度高、碎靶高，彻底影响运动员成绩的提高，国产产品已无能达到国际射联标准和中国射击协会的产品。</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市场供给情况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仿宋"/>
          <w:sz w:val="32"/>
          <w:szCs w:val="32"/>
          <w:u w:val="single"/>
          <w:lang w:val="en-US" w:eastAsia="zh-CN"/>
        </w:rPr>
        <w:t>国内射击飞碟项目全部使用国外产品，产品品牌是西班牙科西维亚、意大利</w:t>
      </w:r>
      <w:r>
        <w:rPr>
          <w:rFonts w:hint="eastAsia" w:ascii="仿宋" w:hAnsi="仿宋" w:eastAsia="仿宋" w:cs="仿宋"/>
          <w:b w:val="0"/>
          <w:bCs w:val="0"/>
          <w:color w:val="000000"/>
          <w:sz w:val="28"/>
          <w:szCs w:val="28"/>
          <w:highlight w:val="none"/>
          <w:u w:val="single"/>
          <w:lang w:eastAsia="zh-CN"/>
        </w:rPr>
        <w:t>EUROTARGE、</w:t>
      </w:r>
      <w:r>
        <w:rPr>
          <w:rFonts w:hint="eastAsia" w:ascii="仿宋" w:hAnsi="仿宋" w:eastAsia="仿宋" w:cs="仿宋"/>
          <w:b w:val="0"/>
          <w:bCs w:val="0"/>
          <w:color w:val="000000"/>
          <w:sz w:val="28"/>
          <w:szCs w:val="28"/>
          <w:highlight w:val="none"/>
          <w:u w:val="single"/>
          <w:lang w:val="en-US" w:eastAsia="zh-CN"/>
        </w:rPr>
        <w:t>法国拉普特。西班牙科西维亚产品最为突出</w:t>
      </w:r>
      <w:r>
        <w:rPr>
          <w:rFonts w:hint="eastAsia" w:ascii="仿宋" w:hAnsi="仿宋" w:eastAsia="仿宋" w:cs="仿宋"/>
          <w:b w:val="0"/>
          <w:bCs w:val="0"/>
          <w:color w:val="000000"/>
          <w:sz w:val="24"/>
          <w:szCs w:val="24"/>
          <w:highlight w:val="none"/>
          <w:u w:val="single"/>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同类采购项目历史成交信息</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飞碟碟靶项目成交信息，以下均为西班牙射击飞碟碟靶的客户：中国射击队</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北京、</w:t>
      </w:r>
      <w:r>
        <w:rPr>
          <w:rFonts w:hint="eastAsia" w:ascii="宋体" w:hAnsi="宋体" w:eastAsia="宋体" w:cs="宋体"/>
          <w:sz w:val="28"/>
          <w:szCs w:val="28"/>
          <w:u w:val="single"/>
        </w:rPr>
        <w:t>上海</w:t>
      </w:r>
      <w:r>
        <w:rPr>
          <w:rFonts w:hint="eastAsia" w:ascii="宋体" w:hAnsi="宋体" w:eastAsia="宋体" w:cs="宋体"/>
          <w:sz w:val="28"/>
          <w:szCs w:val="28"/>
          <w:u w:val="single"/>
          <w:lang w:eastAsia="zh-CN"/>
        </w:rPr>
        <w:t>、</w:t>
      </w:r>
      <w:r>
        <w:rPr>
          <w:rFonts w:hint="eastAsia" w:ascii="宋体" w:hAnsi="宋体"/>
          <w:bCs/>
          <w:color w:val="auto"/>
          <w:sz w:val="28"/>
          <w:szCs w:val="28"/>
          <w:highlight w:val="none"/>
          <w:u w:val="single"/>
          <w:lang w:eastAsia="zh-CN"/>
        </w:rPr>
        <w:t>河南、</w:t>
      </w:r>
      <w:r>
        <w:rPr>
          <w:rFonts w:hint="eastAsia" w:ascii="宋体" w:hAnsi="宋体"/>
          <w:bCs/>
          <w:color w:val="auto"/>
          <w:sz w:val="28"/>
          <w:szCs w:val="28"/>
          <w:highlight w:val="none"/>
          <w:u w:val="single"/>
          <w:lang w:val="en-US" w:eastAsia="zh-CN"/>
        </w:rPr>
        <w:t>湖南</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江西、浙江、</w:t>
      </w:r>
      <w:r>
        <w:rPr>
          <w:rFonts w:hint="eastAsia" w:ascii="宋体" w:hAnsi="宋体" w:eastAsia="宋体" w:cs="宋体"/>
          <w:sz w:val="28"/>
          <w:szCs w:val="28"/>
          <w:u w:val="single"/>
        </w:rPr>
        <w:t>贵州</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山东等射击运动中心。基本采购50万以上数量产品。</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提供中标或成交结果公告网址：</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333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项目名称</w:t>
            </w:r>
          </w:p>
        </w:tc>
        <w:tc>
          <w:tcPr>
            <w:tcW w:w="3330"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采购人名称</w:t>
            </w:r>
          </w:p>
        </w:tc>
        <w:tc>
          <w:tcPr>
            <w:tcW w:w="3169" w:type="dxa"/>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color w:val="000000"/>
                <w:sz w:val="28"/>
                <w:szCs w:val="28"/>
                <w:highlight w:val="none"/>
                <w:u w:val="none"/>
                <w:shd w:val="clear" w:color="auto" w:fill="auto"/>
                <w:lang w:eastAsia="zh-CN"/>
              </w:rPr>
              <w:t>湖南省射击运动管理中心碟靶采购项目</w:t>
            </w:r>
          </w:p>
        </w:tc>
        <w:tc>
          <w:tcPr>
            <w:tcW w:w="3330"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湖南省射击运动管理中心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中标日期：2021年11月25日</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lang w:val="en-US" w:eastAsia="zh-CN"/>
              </w:rPr>
              <w:t>中标金额：494700元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u w:val="single"/>
                <w:lang w:eastAsia="zh-CN"/>
              </w:rPr>
              <w:t xml:space="preserve">湖南省政府采购网 </w:t>
            </w:r>
            <w:r>
              <w:rPr>
                <w:rFonts w:hint="eastAsia" w:ascii="仿宋" w:hAnsi="仿宋" w:eastAsia="仿宋" w:cs="仿宋"/>
                <w:sz w:val="28"/>
                <w:szCs w:val="28"/>
                <w:u w:val="none"/>
                <w:lang w:eastAsia="zh-CN"/>
              </w:rPr>
              <w:t>http://www.ccgp-hunan.gov.cn/#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b w:val="0"/>
                <w:bCs/>
                <w:snapToGrid w:val="0"/>
                <w:kern w:val="28"/>
                <w:sz w:val="28"/>
                <w:szCs w:val="28"/>
                <w:lang w:val="en-US" w:eastAsia="zh-CN"/>
              </w:rPr>
              <w:t>江西</w:t>
            </w:r>
            <w:r>
              <w:rPr>
                <w:rFonts w:hint="eastAsia" w:ascii="仿宋" w:hAnsi="仿宋" w:eastAsia="仿宋" w:cs="仿宋"/>
                <w:b w:val="0"/>
                <w:bCs/>
                <w:snapToGrid w:val="0"/>
                <w:kern w:val="28"/>
                <w:sz w:val="28"/>
                <w:szCs w:val="28"/>
              </w:rPr>
              <w:t>飞碟碟靶采购项目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江西省运动管理中心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中标日期：2021年11月18日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中标金额：104750元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rPr>
              <w:t>江西省公共资源交易网http://ggzy.jiangxi.gov.cn/jxzbw/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color w:val="000000"/>
                <w:kern w:val="2"/>
                <w:sz w:val="28"/>
                <w:szCs w:val="28"/>
                <w:lang w:val="en-US" w:eastAsia="zh-CN" w:bidi="ar-SA"/>
              </w:rPr>
              <w:t>飞碟碟靶采购项目</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SA"/>
              </w:rPr>
              <w:t>莆田市体育训练基地</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中标日期：2022年5月11日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Style w:val="9"/>
                <w:rFonts w:hint="eastAsia" w:ascii="仿宋" w:hAnsi="仿宋" w:eastAsia="仿宋" w:cs="仿宋"/>
                <w:b w:val="0"/>
                <w:bCs/>
                <w:color w:val="393939"/>
                <w:sz w:val="28"/>
                <w:szCs w:val="28"/>
                <w:lang w:val="en-US" w:eastAsia="zh-CN"/>
              </w:rPr>
              <w:t>中标金额：472000元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b w:val="0"/>
                <w:bCs/>
                <w:color w:val="000000"/>
                <w:kern w:val="1"/>
                <w:sz w:val="28"/>
                <w:szCs w:val="28"/>
                <w:highlight w:val="none"/>
              </w:rPr>
              <w:t>中国政府采购网、</w:t>
            </w:r>
            <w:r>
              <w:rPr>
                <w:rFonts w:hint="eastAsia" w:ascii="仿宋" w:hAnsi="仿宋" w:eastAsia="仿宋" w:cs="仿宋"/>
                <w:b w:val="0"/>
                <w:bCs/>
                <w:color w:val="000000"/>
                <w:kern w:val="1"/>
                <w:sz w:val="28"/>
                <w:szCs w:val="28"/>
                <w:highlight w:val="none"/>
                <w:lang w:eastAsia="zh-CN"/>
              </w:rPr>
              <w:t>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贵州省射击运动管理中心飞碟训练靶</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贵州省射击运动管理中心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中标日期：2022年5月26日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vertAlign w:val="baseline"/>
                <w:lang w:val="en-US" w:eastAsia="zh-CN"/>
              </w:rPr>
              <w:t>中标金额：360000元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http://www.okxis.cn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rPr>
              <w:t>上海</w:t>
            </w:r>
            <w:r>
              <w:rPr>
                <w:rFonts w:hint="eastAsia" w:ascii="仿宋" w:hAnsi="仿宋" w:eastAsia="仿宋" w:cs="仿宋"/>
                <w:color w:val="000000"/>
                <w:kern w:val="0"/>
                <w:sz w:val="28"/>
                <w:szCs w:val="28"/>
                <w:lang w:val="en-US" w:eastAsia="zh-CN"/>
              </w:rPr>
              <w:t>射击飞碟项目决赛训练碟靶</w:t>
            </w:r>
          </w:p>
        </w:tc>
        <w:tc>
          <w:tcPr>
            <w:tcW w:w="3330"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上海市竞技体育训练管理中心</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中标日期：2021年07月12日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中标金额：200900元</w:t>
            </w:r>
          </w:p>
        </w:tc>
        <w:tc>
          <w:tcPr>
            <w:tcW w:w="3169" w:type="dxa"/>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u w:val="none"/>
              </w:rPr>
              <w:t>财瑞采购云平台”（</w:t>
            </w:r>
            <w:r>
              <w:rPr>
                <w:rStyle w:val="14"/>
                <w:rFonts w:hint="eastAsia" w:ascii="仿宋" w:hAnsi="仿宋" w:eastAsia="仿宋" w:cs="仿宋"/>
                <w:color w:val="auto"/>
                <w:kern w:val="0"/>
                <w:sz w:val="28"/>
                <w:szCs w:val="28"/>
                <w:u w:val="none"/>
              </w:rPr>
              <w:t>http://crzb.cairui.com.cn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1"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u w:val="none"/>
              </w:rPr>
              <w:t>河南省射击运动管理中心智能枪弹柜和靶碟项目</w:t>
            </w:r>
          </w:p>
        </w:tc>
        <w:tc>
          <w:tcPr>
            <w:tcW w:w="3330"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河南省射击运动管理中心</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中标日期：2021年6月15日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vertAlign w:val="baseline"/>
                <w:lang w:val="en-US" w:eastAsia="zh-CN"/>
              </w:rPr>
              <w:t>中标金额：542880元</w:t>
            </w:r>
          </w:p>
        </w:tc>
        <w:tc>
          <w:tcPr>
            <w:tcW w:w="3169"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u w:val="none"/>
                <w:lang w:val="en-US" w:eastAsia="zh-CN"/>
              </w:rPr>
              <w:t>河南省公共资源交易中心网</w:t>
            </w:r>
            <w:r>
              <w:rPr>
                <w:rFonts w:hint="eastAsia" w:ascii="仿宋" w:hAnsi="仿宋" w:eastAsia="仿宋" w:cs="仿宋"/>
                <w:sz w:val="28"/>
                <w:szCs w:val="28"/>
                <w:u w:val="single"/>
                <w:lang w:val="en-US" w:eastAsia="zh-CN"/>
              </w:rPr>
              <w:t>站</w:t>
            </w:r>
            <w:r>
              <w:rPr>
                <w:rFonts w:hint="eastAsia" w:ascii="仿宋" w:hAnsi="仿宋" w:eastAsia="仿宋" w:cs="仿宋"/>
                <w:sz w:val="28"/>
                <w:szCs w:val="28"/>
                <w:u w:val="none"/>
                <w:lang w:val="en-US" w:eastAsia="zh-CN"/>
              </w:rPr>
              <w:t>http://www.hnggzy.com</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可能涉及的运行维护、升级更新、备品备件、耗材等后续采购情况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2022年欧洲俄罗斯战争，引起能源涨价危机，因此飞碟碟靶价格上涨，飞碟碟靶是运动员必须的消耗产品，因此需多备货。</w:t>
      </w:r>
      <w:r>
        <w:rPr>
          <w:rFonts w:hint="eastAsia" w:ascii="仿宋" w:hAnsi="仿宋" w:eastAsia="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其他相关情况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ascii="楷体" w:hAnsi="楷体" w:eastAsia="楷体"/>
          <w:sz w:val="32"/>
          <w:szCs w:val="32"/>
          <w:u w:val="single"/>
        </w:rPr>
      </w:pPr>
      <w:r>
        <w:rPr>
          <w:rFonts w:hint="eastAsia" w:ascii="楷体" w:hAnsi="楷体" w:eastAsia="楷体"/>
          <w:sz w:val="32"/>
          <w:szCs w:val="32"/>
          <w:u w:val="single"/>
        </w:rPr>
        <w:t xml:space="preserve">     </w:t>
      </w:r>
      <w:r>
        <w:rPr>
          <w:rFonts w:hint="eastAsia" w:ascii="楷体" w:hAnsi="楷体" w:eastAsia="楷体"/>
          <w:sz w:val="32"/>
          <w:szCs w:val="32"/>
          <w:u w:val="single"/>
          <w:lang w:val="en-US" w:eastAsia="zh-CN"/>
        </w:rPr>
        <w:t>无</w:t>
      </w:r>
      <w:r>
        <w:rPr>
          <w:rFonts w:hint="eastAsia" w:ascii="楷体" w:hAnsi="楷体" w:eastAsia="楷体"/>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楷体" w:hAnsi="楷体" w:eastAsia="楷体" w:cs="楷体"/>
          <w:i w:val="0"/>
          <w:iCs w:val="0"/>
          <w:sz w:val="32"/>
          <w:szCs w:val="32"/>
          <w:u w:val="none"/>
          <w:lang w:eastAsia="zh-CN"/>
        </w:rPr>
      </w:pPr>
      <w:r>
        <w:rPr>
          <w:rFonts w:hint="eastAsia" w:ascii="楷体" w:hAnsi="楷体" w:eastAsia="楷体" w:cs="楷体"/>
          <w:i w:val="0"/>
          <w:iCs w:val="0"/>
          <w:sz w:val="32"/>
          <w:szCs w:val="32"/>
          <w:u w:val="none"/>
          <w:lang w:eastAsia="zh-CN"/>
        </w:rPr>
        <w:t>（三）需求清单</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1.</w:t>
      </w:r>
      <w:r>
        <w:rPr>
          <w:rFonts w:hint="eastAsia" w:ascii="仿宋" w:hAnsi="仿宋" w:eastAsia="仿宋" w:cs="仿宋"/>
          <w:i w:val="0"/>
          <w:iCs w:val="0"/>
          <w:sz w:val="32"/>
          <w:szCs w:val="32"/>
          <w:u w:val="none"/>
          <w:lang w:eastAsia="zh-CN"/>
        </w:rPr>
        <w:t>根据《需求管理办法》第七条填写项目概况</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我单位是</w:t>
      </w:r>
      <w:r>
        <w:rPr>
          <w:rStyle w:val="9"/>
          <w:rFonts w:hint="eastAsia" w:ascii="宋体" w:hAnsi="宋体" w:eastAsia="宋体" w:cs="宋体"/>
          <w:b w:val="0"/>
          <w:bCs/>
          <w:color w:val="393939"/>
          <w:sz w:val="30"/>
          <w:szCs w:val="30"/>
          <w:u w:val="single"/>
        </w:rPr>
        <w:t>福建省射击射箭运动管理中心</w:t>
      </w:r>
      <w:r>
        <w:rPr>
          <w:rStyle w:val="9"/>
          <w:rFonts w:hint="eastAsia" w:ascii="宋体" w:hAnsi="宋体" w:eastAsia="宋体" w:cs="宋体"/>
          <w:b w:val="0"/>
          <w:bCs/>
          <w:color w:val="393939"/>
          <w:sz w:val="30"/>
          <w:szCs w:val="30"/>
          <w:u w:val="single"/>
          <w:lang w:eastAsia="zh-CN"/>
        </w:rPr>
        <w:t>，</w:t>
      </w:r>
      <w:r>
        <w:rPr>
          <w:rStyle w:val="9"/>
          <w:rFonts w:hint="eastAsia" w:ascii="宋体" w:hAnsi="宋体" w:eastAsia="宋体" w:cs="宋体"/>
          <w:b w:val="0"/>
          <w:bCs/>
          <w:color w:val="393939"/>
          <w:sz w:val="30"/>
          <w:szCs w:val="30"/>
          <w:u w:val="single"/>
          <w:lang w:val="en-US" w:eastAsia="zh-CN"/>
        </w:rPr>
        <w:t>单位运动员射击训练使用西班牙CORSIVIA飞碟碟靶，本次拟采购射击飞碟碟靶用于运动员训练。其中飞碟碟靶预算金额为：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val="en-US" w:eastAsia="zh-CN"/>
        </w:rPr>
        <w:t>2.</w:t>
      </w:r>
      <w:r>
        <w:rPr>
          <w:rFonts w:hint="eastAsia" w:ascii="仿宋" w:hAnsi="仿宋" w:eastAsia="仿宋" w:cs="仿宋"/>
          <w:i w:val="0"/>
          <w:iCs w:val="0"/>
          <w:sz w:val="32"/>
          <w:szCs w:val="32"/>
          <w:u w:val="none"/>
          <w:lang w:eastAsia="zh-CN"/>
        </w:rPr>
        <w:t>采购项目预算</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sz w:val="32"/>
          <w:szCs w:val="32"/>
          <w:u w:val="none"/>
          <w:lang w:eastAsia="zh-CN"/>
        </w:rPr>
        <w:t>项目预算：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20万元</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eastAsia="zh-CN"/>
        </w:rPr>
        <w:t>包</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预算：</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20万元</w:t>
      </w:r>
      <w:r>
        <w:rPr>
          <w:rFonts w:hint="eastAsia" w:ascii="仿宋" w:hAnsi="仿宋" w:eastAsia="仿宋" w:cs="仿宋"/>
          <w:sz w:val="32"/>
          <w:szCs w:val="32"/>
          <w:u w:val="single"/>
        </w:rPr>
        <w:t xml:space="preserve">            </w:t>
      </w:r>
    </w:p>
    <w:p>
      <w:pPr>
        <w:keepNext w:val="0"/>
        <w:keepLines w:val="0"/>
        <w:pageBreakBefore w:val="0"/>
        <w:widowControl w:val="0"/>
        <w:numPr>
          <w:ilvl w:val="0"/>
          <w:numId w:val="1"/>
        </w:numPr>
        <w:kinsoku/>
        <w:wordWrap/>
        <w:overflowPunct/>
        <w:topLinePunct w:val="0"/>
        <w:autoSpaceDE/>
        <w:autoSpaceDN/>
        <w:bidi w:val="0"/>
        <w:spacing w:line="608" w:lineRule="exact"/>
        <w:ind w:right="0" w:rightChars="0" w:firstLine="640" w:firstLineChars="200"/>
        <w:jc w:val="left"/>
        <w:textAlignment w:val="auto"/>
        <w:outlineLvl w:val="9"/>
        <w:rPr>
          <w:rFonts w:hint="eastAsia" w:ascii="仿宋" w:hAnsi="仿宋" w:eastAsia="仿宋" w:cs="仿宋"/>
          <w:i w:val="0"/>
          <w:iCs w:val="0"/>
          <w:sz w:val="32"/>
          <w:szCs w:val="32"/>
          <w:u w:val="none"/>
          <w:lang w:eastAsia="zh-CN"/>
        </w:rPr>
      </w:pPr>
      <w:r>
        <w:rPr>
          <w:rFonts w:hint="eastAsia" w:ascii="仿宋" w:hAnsi="仿宋" w:eastAsia="仿宋" w:cs="仿宋"/>
          <w:i w:val="0"/>
          <w:iCs w:val="0"/>
          <w:sz w:val="32"/>
          <w:szCs w:val="32"/>
          <w:u w:val="none"/>
          <w:lang w:eastAsia="zh-CN"/>
        </w:rPr>
        <w:t>根据《需求管理办法》第六条、第八条、第九条设置技术要求和商务要求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528"/>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8"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包号</w:t>
            </w:r>
          </w:p>
        </w:tc>
        <w:tc>
          <w:tcPr>
            <w:tcW w:w="1528"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技术商务要求</w:t>
            </w:r>
          </w:p>
        </w:tc>
        <w:tc>
          <w:tcPr>
            <w:tcW w:w="5946" w:type="dxa"/>
            <w:vAlign w:val="top"/>
          </w:tcPr>
          <w:p>
            <w:pPr>
              <w:keepNext w:val="0"/>
              <w:keepLines w:val="0"/>
              <w:pageBreakBefore w:val="0"/>
              <w:widowControl w:val="0"/>
              <w:kinsoku/>
              <w:wordWrap/>
              <w:overflowPunct/>
              <w:topLinePunct w:val="0"/>
              <w:autoSpaceDE/>
              <w:autoSpaceDN/>
              <w:bidi w:val="0"/>
              <w:spacing w:line="608" w:lineRule="exact"/>
              <w:ind w:right="0" w:rightChars="0"/>
              <w:jc w:val="center"/>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1048"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r>
              <w:rPr>
                <w:rFonts w:hint="eastAsia" w:ascii="仿宋" w:hAnsi="仿宋" w:eastAsia="仿宋" w:cs="仿宋"/>
                <w:i w:val="0"/>
                <w:iCs w:val="0"/>
                <w:sz w:val="28"/>
                <w:szCs w:val="28"/>
                <w:u w:val="none"/>
                <w:vertAlign w:val="baseline"/>
                <w:lang w:val="en-US" w:eastAsia="zh-CN"/>
              </w:rPr>
              <w:t>包1</w:t>
            </w:r>
          </w:p>
        </w:tc>
        <w:tc>
          <w:tcPr>
            <w:tcW w:w="1528"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sz w:val="28"/>
                <w:szCs w:val="28"/>
                <w:u w:val="none"/>
                <w:vertAlign w:val="baseline"/>
                <w:lang w:val="en-US" w:eastAsia="zh-CN"/>
              </w:rPr>
              <w:t>技术要求</w:t>
            </w:r>
          </w:p>
        </w:tc>
        <w:tc>
          <w:tcPr>
            <w:tcW w:w="5946" w:type="dxa"/>
            <w:vAlign w:val="top"/>
          </w:tcPr>
          <w:p>
            <w:pPr>
              <w:pStyle w:val="2"/>
              <w:keepNext w:val="0"/>
              <w:keepLines w:val="0"/>
              <w:pageBreakBefore w:val="0"/>
              <w:widowControl w:val="0"/>
              <w:kinsoku/>
              <w:wordWrap/>
              <w:overflowPunct/>
              <w:topLinePunct w:val="0"/>
              <w:autoSpaceDE/>
              <w:autoSpaceDN/>
              <w:bidi w:val="0"/>
              <w:adjustRightInd/>
              <w:snapToGrid/>
              <w:spacing w:before="107"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规格需完全符合国际射联规定</w:t>
            </w:r>
          </w:p>
          <w:p>
            <w:pPr>
              <w:pStyle w:val="2"/>
              <w:keepNext w:val="0"/>
              <w:keepLines w:val="0"/>
              <w:pageBreakBefore w:val="0"/>
              <w:widowControl w:val="0"/>
              <w:kinsoku/>
              <w:wordWrap/>
              <w:overflowPunct/>
              <w:topLinePunct w:val="0"/>
              <w:autoSpaceDE/>
              <w:autoSpaceDN/>
              <w:bidi w:val="0"/>
              <w:adjustRightInd/>
              <w:snapToGrid/>
              <w:spacing w:before="107" w:line="240" w:lineRule="auto"/>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单个重量：105g±5g； </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97"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单个直径：110mm±1mm； </w:t>
            </w:r>
          </w:p>
          <w:p>
            <w:pPr>
              <w:pStyle w:val="2"/>
              <w:keepNext w:val="0"/>
              <w:keepLines w:val="0"/>
              <w:pageBreakBefore w:val="0"/>
              <w:widowControl w:val="0"/>
              <w:kinsoku/>
              <w:wordWrap/>
              <w:overflowPunct/>
              <w:topLinePunct w:val="0"/>
              <w:autoSpaceDE/>
              <w:autoSpaceDN/>
              <w:bidi w:val="0"/>
              <w:adjustRightInd/>
              <w:snapToGrid/>
              <w:spacing w:before="100" w:line="240" w:lineRule="auto"/>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单个高度：25-26mm； </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0"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单个底高度：11mm±1mm；</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15" w:after="0" w:line="240" w:lineRule="auto"/>
              <w:ind w:right="184"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材料构成：70%石灰粉（粉末），30%有机混合物（</w:t>
            </w:r>
            <w:r>
              <w:rPr>
                <w:rFonts w:hint="eastAsia" w:ascii="仿宋" w:hAnsi="仿宋" w:eastAsia="仿宋" w:cs="仿宋"/>
                <w:spacing w:val="-2"/>
                <w:sz w:val="24"/>
                <w:szCs w:val="24"/>
              </w:rPr>
              <w:t>树脂或沥青</w:t>
            </w:r>
            <w:r>
              <w:rPr>
                <w:rFonts w:hint="eastAsia" w:ascii="仿宋" w:hAnsi="仿宋" w:eastAsia="仿宋" w:cs="仿宋"/>
                <w:sz w:val="24"/>
                <w:szCs w:val="24"/>
              </w:rPr>
              <w:t>），1%有机无害色粉（橙色）。（</w:t>
            </w:r>
            <w:r>
              <w:rPr>
                <w:rFonts w:hint="eastAsia" w:ascii="仿宋" w:hAnsi="仿宋" w:eastAsia="仿宋" w:cs="仿宋"/>
                <w:spacing w:val="-2"/>
                <w:sz w:val="24"/>
                <w:szCs w:val="24"/>
              </w:rPr>
              <w:t xml:space="preserve">以上比例误差 </w:t>
            </w:r>
            <w:r>
              <w:rPr>
                <w:rFonts w:hint="eastAsia" w:ascii="仿宋" w:hAnsi="仿宋" w:eastAsia="仿宋" w:cs="仿宋"/>
                <w:sz w:val="24"/>
                <w:szCs w:val="24"/>
              </w:rPr>
              <w:t>不高于3%）</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颜色:银光橙；</w:t>
            </w:r>
          </w:p>
          <w:p>
            <w:pPr>
              <w:pStyle w:val="12"/>
              <w:keepNext w:val="0"/>
              <w:keepLines w:val="0"/>
              <w:pageBreakBefore w:val="0"/>
              <w:widowControl w:val="0"/>
              <w:numPr>
                <w:ilvl w:val="0"/>
                <w:numId w:val="0"/>
              </w:numPr>
              <w:tabs>
                <w:tab w:val="left" w:pos="311"/>
              </w:tabs>
              <w:kinsoku/>
              <w:wordWrap/>
              <w:overflowPunct/>
              <w:topLinePunct w:val="0"/>
              <w:autoSpaceDE/>
              <w:autoSpaceDN/>
              <w:bidi w:val="0"/>
              <w:adjustRightInd/>
              <w:snapToGrid/>
              <w:spacing w:before="103" w:after="0" w:line="240" w:lineRule="auto"/>
              <w:ind w:right="0" w:rightChars="0"/>
              <w:jc w:val="left"/>
              <w:textAlignment w:val="auto"/>
              <w:rPr>
                <w:rFonts w:hint="eastAsia" w:ascii="仿宋" w:hAnsi="仿宋" w:eastAsia="仿宋" w:cs="仿宋"/>
                <w:i w:val="0"/>
                <w:iCs w:val="0"/>
                <w:kern w:val="2"/>
                <w:sz w:val="24"/>
                <w:szCs w:val="24"/>
                <w:u w:val="none"/>
                <w:vertAlign w:val="baseline"/>
                <w:lang w:val="en-US" w:eastAsia="zh-CN" w:bidi="ar-SA"/>
              </w:rPr>
            </w:pPr>
            <w:r>
              <w:rPr>
                <w:rFonts w:hint="eastAsia" w:ascii="仿宋" w:hAnsi="仿宋" w:eastAsia="仿宋" w:cs="仿宋"/>
                <w:sz w:val="24"/>
                <w:szCs w:val="24"/>
              </w:rPr>
              <w:t>8</w:t>
            </w:r>
            <w:r>
              <w:rPr>
                <w:rFonts w:hint="eastAsia" w:ascii="仿宋" w:hAnsi="仿宋" w:eastAsia="仿宋" w:cs="仿宋"/>
                <w:sz w:val="24"/>
                <w:szCs w:val="24"/>
                <w:lang w:eastAsia="zh-CN"/>
              </w:rPr>
              <w:t>、</w:t>
            </w:r>
            <w:r>
              <w:rPr>
                <w:rFonts w:hint="eastAsia" w:ascii="仿宋" w:hAnsi="仿宋" w:eastAsia="仿宋" w:cs="仿宋"/>
                <w:sz w:val="24"/>
                <w:szCs w:val="24"/>
              </w:rPr>
              <w:t>破损率：≦1%；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048"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528"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kern w:val="2"/>
                <w:sz w:val="28"/>
                <w:szCs w:val="28"/>
                <w:u w:val="none"/>
                <w:vertAlign w:val="baseline"/>
                <w:lang w:val="en-US" w:eastAsia="zh-CN" w:bidi="ar-SA"/>
              </w:rPr>
            </w:pPr>
            <w:r>
              <w:rPr>
                <w:rFonts w:hint="eastAsia" w:ascii="仿宋" w:hAnsi="仿宋" w:eastAsia="仿宋" w:cs="仿宋"/>
                <w:i w:val="0"/>
                <w:iCs w:val="0"/>
                <w:sz w:val="28"/>
                <w:szCs w:val="28"/>
                <w:u w:val="none"/>
              </w:rPr>
              <w:t>商务要求</w:t>
            </w:r>
          </w:p>
        </w:tc>
        <w:tc>
          <w:tcPr>
            <w:tcW w:w="5946" w:type="dxa"/>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 xml:space="preserve">交付地点：福建省福州市鼓楼区江厝路15号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交付时间：合同签订后 ( 30) 天内交货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交付条件：</w:t>
            </w:r>
            <w:r>
              <w:rPr>
                <w:rFonts w:hint="eastAsia" w:ascii="仿宋" w:hAnsi="仿宋" w:eastAsia="仿宋" w:cs="仿宋"/>
                <w:sz w:val="24"/>
                <w:szCs w:val="24"/>
                <w:lang w:val="en-US" w:eastAsia="zh-CN"/>
              </w:rPr>
              <w:t>经采购人验收合格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bCs/>
                <w:sz w:val="24"/>
                <w:szCs w:val="24"/>
                <w:lang w:val="en-US" w:eastAsia="zh-CN"/>
              </w:rPr>
              <w:t>是否收取履约保证金;</w:t>
            </w:r>
            <w:r>
              <w:rPr>
                <w:rFonts w:hint="eastAsia" w:ascii="仿宋" w:hAnsi="仿宋" w:eastAsia="仿宋" w:cs="仿宋"/>
                <w:sz w:val="24"/>
                <w:szCs w:val="24"/>
              </w:rPr>
              <w:t>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rPr>
              <w:t>是否邀请投标人参与验收：否</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bCs/>
                <w:sz w:val="24"/>
                <w:szCs w:val="24"/>
              </w:rPr>
            </w:pPr>
            <w:r>
              <w:rPr>
                <w:rFonts w:hint="eastAsia" w:ascii="仿宋" w:hAnsi="仿宋" w:eastAsia="仿宋" w:cs="仿宋"/>
                <w:sz w:val="24"/>
                <w:szCs w:val="24"/>
                <w:lang w:val="en-US" w:eastAsia="zh-CN"/>
              </w:rPr>
              <w:t>验收方式：验收期次，按招标文件要求</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bCs/>
                <w:sz w:val="24"/>
                <w:szCs w:val="24"/>
              </w:rPr>
              <w:t>交付</w:t>
            </w:r>
            <w:r>
              <w:rPr>
                <w:rFonts w:hint="eastAsia" w:ascii="仿宋" w:hAnsi="仿宋" w:eastAsia="仿宋" w:cs="仿宋"/>
                <w:bCs/>
                <w:sz w:val="24"/>
                <w:szCs w:val="24"/>
                <w:lang w:val="en-US" w:eastAsia="zh-CN"/>
              </w:rPr>
              <w:t>方式</w:t>
            </w:r>
            <w:r>
              <w:rPr>
                <w:rFonts w:hint="eastAsia" w:ascii="仿宋" w:hAnsi="仿宋" w:eastAsia="仿宋" w:cs="仿宋"/>
                <w:bCs/>
                <w:sz w:val="24"/>
                <w:szCs w:val="24"/>
              </w:rPr>
              <w:t>：</w:t>
            </w:r>
            <w:r>
              <w:rPr>
                <w:rFonts w:hint="eastAsia" w:ascii="仿宋" w:hAnsi="仿宋" w:eastAsia="仿宋" w:cs="仿宋"/>
                <w:bCs/>
                <w:sz w:val="24"/>
                <w:szCs w:val="24"/>
                <w:lang w:val="en-US" w:eastAsia="zh-CN"/>
              </w:rPr>
              <w:t>支付期次:一次性，100%。</w:t>
            </w:r>
            <w:r>
              <w:rPr>
                <w:rFonts w:hint="eastAsia" w:ascii="仿宋" w:hAnsi="仿宋" w:eastAsia="仿宋" w:cs="仿宋"/>
                <w:sz w:val="24"/>
                <w:szCs w:val="24"/>
              </w:rPr>
              <w:t>验收合格后7个工作日内缴纳合同总金额的10%作为质量保证金，无其他任何特殊情况保证金将在验收合格半年后无息退还。</w:t>
            </w:r>
          </w:p>
          <w:p>
            <w:pPr>
              <w:pStyle w:val="13"/>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售后服务要求</w:t>
            </w:r>
          </w:p>
          <w:p>
            <w:pPr>
              <w:pStyle w:val="13"/>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仿宋" w:hAnsi="仿宋" w:eastAsia="仿宋" w:cs="仿宋"/>
                <w:color w:val="393939"/>
                <w:kern w:val="0"/>
                <w:sz w:val="24"/>
                <w:szCs w:val="24"/>
                <w:shd w:val="clear" w:color="auto" w:fill="FFFFFF"/>
              </w:rPr>
            </w:pPr>
            <w:r>
              <w:rPr>
                <w:rFonts w:hint="eastAsia" w:ascii="仿宋" w:hAnsi="仿宋" w:eastAsia="仿宋" w:cs="仿宋"/>
                <w:color w:val="393939"/>
                <w:kern w:val="0"/>
                <w:sz w:val="24"/>
                <w:szCs w:val="24"/>
                <w:shd w:val="clear" w:color="auto" w:fill="FFFFFF"/>
              </w:rPr>
              <w:t>售后服务：</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393939"/>
                <w:kern w:val="0"/>
                <w:sz w:val="24"/>
                <w:szCs w:val="24"/>
                <w:shd w:val="clear" w:color="auto" w:fill="FFFFFF"/>
              </w:rPr>
            </w:pPr>
            <w:r>
              <w:rPr>
                <w:rFonts w:hint="eastAsia" w:ascii="仿宋" w:hAnsi="仿宋" w:eastAsia="仿宋" w:cs="仿宋"/>
                <w:color w:val="393939"/>
                <w:kern w:val="0"/>
                <w:sz w:val="24"/>
                <w:szCs w:val="24"/>
                <w:shd w:val="clear" w:color="auto" w:fill="FFFFFF"/>
              </w:rPr>
              <w:t>由</w:t>
            </w:r>
            <w:r>
              <w:rPr>
                <w:rFonts w:hint="eastAsia" w:ascii="仿宋" w:hAnsi="仿宋" w:eastAsia="仿宋" w:cs="仿宋"/>
                <w:color w:val="393939"/>
                <w:kern w:val="0"/>
                <w:sz w:val="24"/>
                <w:szCs w:val="24"/>
                <w:shd w:val="clear" w:color="auto" w:fill="FFFFFF"/>
                <w:lang w:val="en-US" w:eastAsia="zh-CN"/>
              </w:rPr>
              <w:t>供应商</w:t>
            </w:r>
            <w:r>
              <w:rPr>
                <w:rFonts w:hint="eastAsia" w:ascii="仿宋" w:hAnsi="仿宋" w:eastAsia="仿宋" w:cs="仿宋"/>
                <w:color w:val="393939"/>
                <w:kern w:val="0"/>
                <w:sz w:val="24"/>
                <w:szCs w:val="24"/>
                <w:shd w:val="clear" w:color="auto" w:fill="FFFFFF"/>
              </w:rPr>
              <w:t>负责设备的现场安装和调试，在接到用户通知后派技术人员到现场进行免费安装调试，直至验收合格（由采购单位签字确认，附验收报告）；安装须符合我国国家有关技术规范和技术标准。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b)安装调试：</w:t>
            </w:r>
            <w:r>
              <w:rPr>
                <w:rFonts w:hint="eastAsia" w:ascii="仿宋" w:hAnsi="仿宋" w:eastAsia="仿宋" w:cs="仿宋"/>
                <w:sz w:val="24"/>
                <w:szCs w:val="24"/>
              </w:rPr>
              <w:t>由供货方负责设备的现场安装和调试，按合同规定的时间、地点完成交货、安装、调试、验收完毕。在设备的安装、调试、试运行期间，供货方安装调试人员一切费用自理。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c</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包装和发运</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为了保证货物在长途运输和装卸过程中的安全，货物包装应符合国家或行业标准规定。由于包装不善导致货物锈蚀、缺失或损坏，由成交人承担一切责任。</w:t>
            </w:r>
          </w:p>
          <w:p>
            <w:pPr>
              <w:pStyle w:val="5"/>
              <w:widowControl/>
              <w:spacing w:before="75" w:beforeAutospacing="0" w:after="75" w:afterAutospacing="0"/>
              <w:ind w:right="-180"/>
              <w:rPr>
                <w:rFonts w:hint="eastAsia" w:ascii="仿宋" w:hAnsi="仿宋" w:eastAsia="仿宋" w:cs="仿宋"/>
                <w:sz w:val="24"/>
                <w:szCs w:val="24"/>
              </w:rPr>
            </w:pPr>
            <w:r>
              <w:rPr>
                <w:rStyle w:val="9"/>
                <w:rFonts w:hint="eastAsia" w:ascii="仿宋" w:hAnsi="仿宋" w:eastAsia="仿宋" w:cs="仿宋"/>
                <w:b w:val="0"/>
                <w:bCs/>
                <w:color w:val="393939"/>
                <w:sz w:val="24"/>
                <w:szCs w:val="24"/>
                <w:lang w:val="en-US" w:eastAsia="zh-CN"/>
              </w:rPr>
              <w:t>d)</w:t>
            </w:r>
            <w:r>
              <w:rPr>
                <w:rStyle w:val="9"/>
                <w:rFonts w:hint="eastAsia" w:ascii="仿宋" w:hAnsi="仿宋" w:eastAsia="仿宋" w:cs="仿宋"/>
                <w:b w:val="0"/>
                <w:bCs/>
                <w:color w:val="393939"/>
                <w:sz w:val="24"/>
                <w:szCs w:val="24"/>
              </w:rPr>
              <w:t>质保期及售后服务要求</w:t>
            </w:r>
          </w:p>
          <w:p>
            <w:pPr>
              <w:pStyle w:val="5"/>
              <w:widowControl/>
              <w:spacing w:before="75" w:beforeAutospacing="0" w:after="75" w:afterAutospacing="0"/>
              <w:ind w:right="-180" w:firstLine="480" w:firstLineChars="200"/>
              <w:rPr>
                <w:rFonts w:hint="eastAsia" w:ascii="仿宋" w:hAnsi="仿宋" w:eastAsia="仿宋" w:cs="仿宋"/>
                <w:i w:val="0"/>
                <w:iCs w:val="0"/>
                <w:kern w:val="2"/>
                <w:sz w:val="24"/>
                <w:szCs w:val="24"/>
                <w:u w:val="none"/>
                <w:lang w:val="en-US" w:eastAsia="zh-CN" w:bidi="ar-SA"/>
              </w:rPr>
            </w:pPr>
            <w:r>
              <w:rPr>
                <w:rFonts w:hint="eastAsia" w:ascii="仿宋" w:hAnsi="仿宋" w:eastAsia="仿宋" w:cs="仿宋"/>
                <w:color w:val="393939"/>
                <w:sz w:val="24"/>
                <w:szCs w:val="24"/>
              </w:rPr>
              <w:t>质量保证期（简称“质保期”）为一年，质保期内</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对所供货物实行包换、包退。如送达货物不符合规格要求，</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必须无条件接受退货，并在采购人要求的时间内将合格货品送达采购人指 定地点。由此产生的费用由</w:t>
            </w:r>
            <w:r>
              <w:rPr>
                <w:rFonts w:hint="eastAsia" w:ascii="仿宋" w:hAnsi="仿宋" w:eastAsia="仿宋" w:cs="仿宋"/>
                <w:color w:val="393939"/>
                <w:sz w:val="24"/>
                <w:szCs w:val="24"/>
                <w:lang w:val="en-US" w:eastAsia="zh-CN"/>
              </w:rPr>
              <w:t>供应商</w:t>
            </w:r>
            <w:r>
              <w:rPr>
                <w:rFonts w:hint="eastAsia" w:ascii="仿宋" w:hAnsi="仿宋" w:eastAsia="仿宋" w:cs="仿宋"/>
                <w:color w:val="393939"/>
                <w:sz w:val="24"/>
                <w:szCs w:val="24"/>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048" w:type="dxa"/>
            <w:vMerge w:val="restart"/>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528" w:type="dxa"/>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lang w:eastAsia="zh-CN"/>
              </w:rPr>
            </w:pPr>
          </w:p>
        </w:tc>
        <w:tc>
          <w:tcPr>
            <w:tcW w:w="5946" w:type="dxa"/>
            <w:vAlign w:val="top"/>
          </w:tcPr>
          <w:p>
            <w:pPr>
              <w:pStyle w:val="2"/>
              <w:spacing w:before="100"/>
              <w:ind w:left="115"/>
              <w:rPr>
                <w:rFonts w:hint="eastAsia" w:ascii="仿宋" w:hAnsi="仿宋" w:eastAsia="仿宋" w:cs="仿宋"/>
                <w:i w:val="0"/>
                <w:iCs w:val="0"/>
                <w:sz w:val="28"/>
                <w:szCs w:val="28"/>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048" w:type="dxa"/>
            <w:vMerge w:val="continue"/>
            <w:vAlign w:val="top"/>
          </w:tcPr>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rPr>
                <w:rFonts w:hint="eastAsia" w:ascii="仿宋" w:hAnsi="仿宋" w:eastAsia="仿宋" w:cs="仿宋"/>
                <w:i w:val="0"/>
                <w:iCs w:val="0"/>
                <w:sz w:val="28"/>
                <w:szCs w:val="28"/>
                <w:u w:val="none"/>
                <w:vertAlign w:val="baseline"/>
                <w:lang w:val="en-US" w:eastAsia="zh-CN"/>
              </w:rPr>
            </w:pPr>
          </w:p>
        </w:tc>
        <w:tc>
          <w:tcPr>
            <w:tcW w:w="1528"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i w:val="0"/>
                <w:iCs w:val="0"/>
                <w:sz w:val="28"/>
                <w:szCs w:val="28"/>
                <w:u w:val="none"/>
                <w:lang w:eastAsia="zh-CN"/>
              </w:rPr>
            </w:pPr>
          </w:p>
        </w:tc>
        <w:tc>
          <w:tcPr>
            <w:tcW w:w="5946" w:type="dxa"/>
            <w:vAlign w:val="top"/>
          </w:tcPr>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18"/>
                <w:szCs w:val="18"/>
                <w:lang w:val="en-US" w:eastAsia="zh-CN"/>
              </w:rPr>
            </w:pPr>
          </w:p>
        </w:tc>
      </w:tr>
    </w:tbl>
    <w:p>
      <w:pPr>
        <w:keepNext w:val="0"/>
        <w:keepLines w:val="0"/>
        <w:pageBreakBefore w:val="0"/>
        <w:widowControl w:val="0"/>
        <w:kinsoku/>
        <w:wordWrap/>
        <w:overflowPunct/>
        <w:topLinePunct w:val="0"/>
        <w:autoSpaceDE/>
        <w:autoSpaceDN/>
        <w:bidi w:val="0"/>
        <w:spacing w:line="608" w:lineRule="exact"/>
        <w:ind w:right="0" w:rightChars="0" w:firstLine="640" w:firstLineChars="200"/>
        <w:jc w:val="left"/>
        <w:textAlignment w:val="auto"/>
        <w:outlineLvl w:val="9"/>
        <w:rPr>
          <w:rFonts w:hint="eastAsia" w:ascii="黑体" w:hAnsi="黑体" w:eastAsia="黑体" w:cs="黑体"/>
          <w:i w:val="0"/>
          <w:iCs w:val="0"/>
          <w:sz w:val="32"/>
          <w:szCs w:val="32"/>
          <w:u w:val="none"/>
          <w:lang w:eastAsia="zh-CN"/>
        </w:rPr>
      </w:pPr>
    </w:p>
    <w:p>
      <w:pPr>
        <w:keepNext w:val="0"/>
        <w:keepLines w:val="0"/>
        <w:pageBreakBefore w:val="0"/>
        <w:widowControl w:val="0"/>
        <w:kinsoku/>
        <w:wordWrap/>
        <w:overflowPunct/>
        <w:topLinePunct w:val="0"/>
        <w:autoSpaceDE/>
        <w:autoSpaceDN/>
        <w:bidi w:val="0"/>
        <w:spacing w:line="608" w:lineRule="exact"/>
        <w:ind w:right="0" w:rightChars="0"/>
        <w:jc w:val="left"/>
        <w:textAlignment w:val="auto"/>
        <w:outlineLvl w:val="9"/>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29</w:t>
    </w:r>
    <w:r>
      <w:rPr>
        <w:rStyle w:val="10"/>
        <w:rFonts w:ascii="宋体" w:hAnsi="宋体"/>
        <w:sz w:val="28"/>
        <w:szCs w:val="28"/>
      </w:rPr>
      <w:fldChar w:fldCharType="end"/>
    </w:r>
    <w:r>
      <w:rPr>
        <w:rStyle w:val="10"/>
        <w:rFonts w:hint="eastAsia" w:ascii="宋体" w:hAnsi="宋体"/>
        <w:sz w:val="28"/>
        <w:szCs w:val="28"/>
      </w:rPr>
      <w:t xml:space="preserve"> — </w:t>
    </w:r>
  </w:p>
  <w:p>
    <w:pPr>
      <w:pStyle w:val="4"/>
      <w:ind w:right="360" w:firstLine="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28</w:t>
    </w:r>
    <w:r>
      <w:rPr>
        <w:rStyle w:val="10"/>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DAF0B"/>
    <w:multiLevelType w:val="singleLevel"/>
    <w:tmpl w:val="31EDAF0B"/>
    <w:lvl w:ilvl="0" w:tentative="0">
      <w:start w:val="1"/>
      <w:numFmt w:val="decimal"/>
      <w:suff w:val="nothing"/>
      <w:lvlText w:val="%1、"/>
      <w:lvlJc w:val="left"/>
    </w:lvl>
  </w:abstractNum>
  <w:abstractNum w:abstractNumId="1">
    <w:nsid w:val="61502109"/>
    <w:multiLevelType w:val="singleLevel"/>
    <w:tmpl w:val="61502109"/>
    <w:lvl w:ilvl="0" w:tentative="0">
      <w:start w:val="3"/>
      <w:numFmt w:val="decimal"/>
      <w:suff w:val="nothing"/>
      <w:lvlText w:val="%1."/>
      <w:lvlJc w:val="left"/>
    </w:lvl>
  </w:abstractNum>
  <w:abstractNum w:abstractNumId="2">
    <w:nsid w:val="640D2FA0"/>
    <w:multiLevelType w:val="singleLevel"/>
    <w:tmpl w:val="640D2FA0"/>
    <w:lvl w:ilvl="0" w:tentative="0">
      <w:start w:val="1"/>
      <w:numFmt w:val="lowerLetter"/>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Tc3ODg3ZTEwMDVlNGJkNTU2N2UyZjMxM2JhMjYifQ=="/>
  </w:docVars>
  <w:rsids>
    <w:rsidRoot w:val="55EB628B"/>
    <w:rsid w:val="01B34E22"/>
    <w:rsid w:val="01D84888"/>
    <w:rsid w:val="01EE7C08"/>
    <w:rsid w:val="042C0EBC"/>
    <w:rsid w:val="06E17D3B"/>
    <w:rsid w:val="07A1396F"/>
    <w:rsid w:val="07AA45D1"/>
    <w:rsid w:val="098D3303"/>
    <w:rsid w:val="0CE82D6C"/>
    <w:rsid w:val="0F7C0E7C"/>
    <w:rsid w:val="112F465A"/>
    <w:rsid w:val="1662251B"/>
    <w:rsid w:val="1730417F"/>
    <w:rsid w:val="185F4F64"/>
    <w:rsid w:val="18694035"/>
    <w:rsid w:val="19E72F9E"/>
    <w:rsid w:val="1B216501"/>
    <w:rsid w:val="1C427076"/>
    <w:rsid w:val="1CEF61F2"/>
    <w:rsid w:val="1FB913FE"/>
    <w:rsid w:val="215F4227"/>
    <w:rsid w:val="21C83B7A"/>
    <w:rsid w:val="24623D02"/>
    <w:rsid w:val="265572DB"/>
    <w:rsid w:val="2C3845D6"/>
    <w:rsid w:val="2D4F15F3"/>
    <w:rsid w:val="2EA63495"/>
    <w:rsid w:val="30327686"/>
    <w:rsid w:val="317A4765"/>
    <w:rsid w:val="34DD74E5"/>
    <w:rsid w:val="35026F4B"/>
    <w:rsid w:val="360D5A62"/>
    <w:rsid w:val="370276D6"/>
    <w:rsid w:val="38E452E6"/>
    <w:rsid w:val="438E0D06"/>
    <w:rsid w:val="4581326C"/>
    <w:rsid w:val="475573AE"/>
    <w:rsid w:val="47A45C61"/>
    <w:rsid w:val="484A6D19"/>
    <w:rsid w:val="489F2FD7"/>
    <w:rsid w:val="4B83273C"/>
    <w:rsid w:val="50A8054F"/>
    <w:rsid w:val="527A416D"/>
    <w:rsid w:val="52F06DA9"/>
    <w:rsid w:val="5452714F"/>
    <w:rsid w:val="54CF07A0"/>
    <w:rsid w:val="54E0669A"/>
    <w:rsid w:val="55EB628B"/>
    <w:rsid w:val="58C425E6"/>
    <w:rsid w:val="58D04AAE"/>
    <w:rsid w:val="594A4899"/>
    <w:rsid w:val="5DF474C9"/>
    <w:rsid w:val="606E3563"/>
    <w:rsid w:val="61BE5E24"/>
    <w:rsid w:val="65477DA9"/>
    <w:rsid w:val="6656210F"/>
    <w:rsid w:val="69074555"/>
    <w:rsid w:val="6D57537F"/>
    <w:rsid w:val="6D9862EE"/>
    <w:rsid w:val="6E5F098F"/>
    <w:rsid w:val="6EFF7A7C"/>
    <w:rsid w:val="6F842CE2"/>
    <w:rsid w:val="7113780F"/>
    <w:rsid w:val="7169662F"/>
    <w:rsid w:val="732331EB"/>
    <w:rsid w:val="7355410F"/>
    <w:rsid w:val="74687E72"/>
    <w:rsid w:val="75B22247"/>
    <w:rsid w:val="76391AC6"/>
    <w:rsid w:val="773E76B0"/>
    <w:rsid w:val="7D7B6E68"/>
    <w:rsid w:val="7FBC2F5E"/>
    <w:rsid w:val="FDBD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19"/>
      <w:szCs w:val="19"/>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styleId="12">
    <w:name w:val="List Paragraph"/>
    <w:basedOn w:val="1"/>
    <w:qFormat/>
    <w:uiPriority w:val="1"/>
    <w:pPr>
      <w:ind w:left="115" w:hanging="487"/>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2198</Words>
  <Characters>2503</Characters>
  <Lines>0</Lines>
  <Paragraphs>0</Paragraphs>
  <TotalTime>5</TotalTime>
  <ScaleCrop>false</ScaleCrop>
  <LinksUpToDate>false</LinksUpToDate>
  <CharactersWithSpaces>2880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2021-09-26T14:48:00Z</dcterms:created>
  <dc:creator>lenovo</dc:creator>
  <cp:lastModifiedBy>刘馨雨</cp:lastModifiedBy>
  <cp:lastPrinted>2021-09-26T16:17:00Z</cp:lastPrinted>
  <dcterms:modified xsi:type="dcterms:W3CDTF">2022-06-02T11:25:01Z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0B93F073F64E4E0C94CE301A08B4C97E</vt:lpwstr>
  </property>
</Properties>
</file>