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cs="宋体"/>
          <w:b/>
          <w:bCs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  <w:lang w:bidi="ar"/>
        </w:rPr>
        <w:t>1</w:t>
      </w: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276"/>
        <w:gridCol w:w="757"/>
        <w:gridCol w:w="757"/>
        <w:gridCol w:w="1388"/>
        <w:gridCol w:w="1268"/>
        <w:gridCol w:w="757"/>
        <w:gridCol w:w="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  <w:t>省体彩中心2023年面向社会公开招聘硕士及以上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  <w:t>研究生工作人员资格复审人员名单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党务管理员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202301002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82.75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202301023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202301031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78.95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202301063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202301011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76.85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202301012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75.95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品牌运营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202301025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78.35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202301015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202301057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法务管理员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202301077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84.65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202301070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202301044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薪酬与福利管理员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202301071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202301078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202301027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业务员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202301038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202301034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202301039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82.35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202301028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81.75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202301013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202301073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业务员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202301075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73.15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财务兼业务员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202301022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78.75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C2E67"/>
    <w:rsid w:val="7E6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2023-05-17T07:38:00Z</dcterms:created>
  <dc:creator>N'</dc:creator>
  <cp:lastModifiedBy>N'</cp:lastModifiedBy>
  <dcterms:modified xsi:type="dcterms:W3CDTF">2023-05-17T07:38:29Z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